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6"/>
        </w:rPr>
      </w:pPr>
      <w:bookmarkStart w:id="0" w:name="_GoBack"/>
      <w:r>
        <w:rPr>
          <w:rFonts w:hint="default"/>
          <w:sz w:val="28"/>
          <w:szCs w:val="36"/>
        </w:rPr>
        <w:t>山东省加油站油气回收在线监控及联网技术要求</w:t>
      </w:r>
    </w:p>
    <w:bookmarkEnd w:id="0"/>
    <w:p>
      <w:pPr>
        <w:ind w:firstLine="420" w:firstLineChars="200"/>
        <w:rPr/>
      </w:pPr>
      <w:r>
        <w:rPr>
          <w:rFonts w:hint="default"/>
        </w:rPr>
        <w:t>日前，</w:t>
      </w:r>
      <w:r>
        <w:rPr>
          <w:rFonts w:hint="default"/>
        </w:rPr>
        <w:fldChar w:fldCharType="begin"/>
      </w:r>
      <w:r>
        <w:rPr>
          <w:rFonts w:hint="default"/>
        </w:rPr>
        <w:instrText xml:space="preserve"> HYPERLINK "https://huanbao.bjx.com.cn/topics/shandong/" \t "https://huanbao.bjx.com.cn/news/20221026/_blank" </w:instrText>
      </w:r>
      <w:r>
        <w:rPr>
          <w:rFonts w:hint="default"/>
        </w:rPr>
        <w:fldChar w:fldCharType="separate"/>
      </w:r>
      <w:r>
        <w:rPr>
          <w:rFonts w:hint="default"/>
        </w:rPr>
        <w:t>山东</w:t>
      </w:r>
      <w:r>
        <w:rPr>
          <w:rFonts w:hint="default"/>
        </w:rPr>
        <w:fldChar w:fldCharType="end"/>
      </w:r>
      <w:r>
        <w:rPr>
          <w:rFonts w:hint="default"/>
        </w:rPr>
        <w:t>印发《山东省加油站</w:t>
      </w:r>
      <w:r>
        <w:rPr>
          <w:rFonts w:hint="default"/>
        </w:rPr>
        <w:fldChar w:fldCharType="begin"/>
      </w:r>
      <w:r>
        <w:rPr>
          <w:rFonts w:hint="default"/>
        </w:rPr>
        <w:instrText xml:space="preserve"> HYPERLINK "https://huanbao.bjx.com.cn/topics/youqihuishou/" \t "https://huanbao.bjx.com.cn/news/20221026/_blank" </w:instrText>
      </w:r>
      <w:r>
        <w:rPr>
          <w:rFonts w:hint="default"/>
        </w:rPr>
        <w:fldChar w:fldCharType="separate"/>
      </w:r>
      <w:r>
        <w:rPr>
          <w:rFonts w:hint="default"/>
        </w:rPr>
        <w:t>油气回收</w:t>
      </w:r>
      <w:r>
        <w:rPr>
          <w:rFonts w:hint="default"/>
        </w:rPr>
        <w:fldChar w:fldCharType="end"/>
      </w:r>
      <w:r>
        <w:rPr>
          <w:rFonts w:hint="default"/>
        </w:rPr>
        <w:fldChar w:fldCharType="begin"/>
      </w:r>
      <w:r>
        <w:rPr>
          <w:rFonts w:hint="default"/>
        </w:rPr>
        <w:instrText xml:space="preserve"> HYPERLINK "https://huanbao.bjx.com.cn/topics/zaixianjiankong/" \t "https://huanbao.bjx.com.cn/news/20221026/_blank" </w:instrText>
      </w:r>
      <w:r>
        <w:rPr>
          <w:rFonts w:hint="default"/>
        </w:rPr>
        <w:fldChar w:fldCharType="separate"/>
      </w:r>
      <w:r>
        <w:rPr>
          <w:rFonts w:hint="default"/>
        </w:rPr>
        <w:t>在线监控</w:t>
      </w:r>
      <w:r>
        <w:rPr>
          <w:rFonts w:hint="default"/>
        </w:rPr>
        <w:fldChar w:fldCharType="end"/>
      </w:r>
      <w:r>
        <w:rPr>
          <w:rFonts w:hint="default"/>
        </w:rPr>
        <w:t>及联网技术要求》。详情如下：</w:t>
      </w:r>
    </w:p>
    <w:p>
      <w:pPr>
        <w:jc w:val="center"/>
        <w:rPr>
          <w:rFonts w:hint="default"/>
        </w:rPr>
      </w:pPr>
      <w:r>
        <w:rPr>
          <w:rFonts w:hint="default"/>
        </w:rPr>
        <w:t>山东省加油站油气回收在线监控及联网技术要求</w:t>
      </w:r>
    </w:p>
    <w:p>
      <w:pPr>
        <w:rPr>
          <w:rFonts w:hint="default"/>
        </w:rPr>
      </w:pPr>
      <w:r>
        <w:rPr>
          <w:rFonts w:hint="default"/>
        </w:rPr>
        <w:t>1适用范围</w:t>
      </w:r>
    </w:p>
    <w:p>
      <w:pPr>
        <w:ind w:firstLine="420" w:firstLineChars="200"/>
        <w:rPr>
          <w:rFonts w:hint="default"/>
        </w:rPr>
      </w:pPr>
      <w:r>
        <w:rPr>
          <w:rFonts w:hint="default"/>
        </w:rPr>
        <w:t>本技术要求明确加油站油气回收在线监控系统的系统组成、技术要求、性能指标、传感器位置布置，适用于加油站油气回收系统的日常运行维护监控，也可用于油气回收在线监控系统的安装、检验等的指导。</w:t>
      </w:r>
    </w:p>
    <w:p>
      <w:pPr>
        <w:rPr>
          <w:rFonts w:hint="default"/>
        </w:rPr>
      </w:pPr>
      <w:r>
        <w:rPr>
          <w:rFonts w:hint="default"/>
        </w:rPr>
        <w:t>2规范性引用文件</w:t>
      </w:r>
    </w:p>
    <w:p>
      <w:pPr>
        <w:ind w:firstLine="420" w:firstLineChars="200"/>
        <w:rPr>
          <w:rFonts w:hint="default"/>
        </w:rPr>
      </w:pPr>
      <w:r>
        <w:rPr>
          <w:rFonts w:hint="default"/>
        </w:rPr>
        <w:t>内容引用了下列文件中的条款。凡是不注日期的引用文件，其有效版本适用于本技术要求。</w:t>
      </w:r>
    </w:p>
    <w:p>
      <w:pPr>
        <w:ind w:firstLine="420" w:firstLineChars="200"/>
        <w:rPr>
          <w:rFonts w:hint="default"/>
        </w:rPr>
      </w:pPr>
      <w:r>
        <w:rPr>
          <w:rFonts w:hint="default"/>
        </w:rPr>
        <w:t>GB 20952-2020 加油站大气污染物排放标准</w:t>
      </w:r>
    </w:p>
    <w:p>
      <w:pPr>
        <w:ind w:firstLine="420" w:firstLineChars="200"/>
        <w:rPr>
          <w:rFonts w:hint="default"/>
        </w:rPr>
      </w:pPr>
      <w:r>
        <w:rPr>
          <w:rFonts w:hint="default"/>
        </w:rPr>
        <w:t>GB 50156-2021 汽车加油加气加氢站技术标准</w:t>
      </w:r>
    </w:p>
    <w:p>
      <w:pPr>
        <w:ind w:firstLine="420" w:firstLineChars="200"/>
        <w:rPr>
          <w:rFonts w:hint="default"/>
        </w:rPr>
      </w:pPr>
      <w:r>
        <w:rPr>
          <w:rFonts w:hint="default"/>
        </w:rPr>
        <w:t>HJ 212-2017 污染源在线监控（监测）系统数据传输标准</w:t>
      </w:r>
    </w:p>
    <w:p>
      <w:pPr>
        <w:ind w:firstLine="420" w:firstLineChars="200"/>
        <w:rPr>
          <w:rFonts w:hint="default"/>
        </w:rPr>
      </w:pPr>
      <w:r>
        <w:rPr>
          <w:rFonts w:hint="default"/>
        </w:rPr>
        <w:t>GB/T 2260 中华人民共和国行政区划代码</w:t>
      </w:r>
    </w:p>
    <w:p>
      <w:pPr>
        <w:ind w:firstLine="420" w:firstLineChars="200"/>
        <w:rPr>
          <w:rFonts w:hint="default"/>
        </w:rPr>
      </w:pPr>
      <w:r>
        <w:rPr>
          <w:rFonts w:hint="default"/>
        </w:rPr>
        <w:t>GB/T 32960.3-2016 电动汽车远程服务与管理系统技术规范</w:t>
      </w:r>
    </w:p>
    <w:p>
      <w:pPr>
        <w:rPr>
          <w:rFonts w:hint="default"/>
        </w:rPr>
      </w:pPr>
      <w:r>
        <w:rPr>
          <w:rFonts w:hint="default"/>
        </w:rPr>
        <w:t>3术语和定义</w:t>
      </w:r>
    </w:p>
    <w:p>
      <w:pPr>
        <w:ind w:firstLine="420" w:firstLineChars="200"/>
        <w:rPr>
          <w:rFonts w:hint="default"/>
        </w:rPr>
      </w:pPr>
      <w:r>
        <w:rPr>
          <w:rFonts w:hint="default"/>
        </w:rPr>
        <w:t>下列术语和定义适用于本技术要求。</w:t>
      </w:r>
    </w:p>
    <w:p>
      <w:pPr>
        <w:ind w:firstLine="210" w:firstLineChars="100"/>
        <w:rPr>
          <w:rFonts w:hint="default"/>
        </w:rPr>
      </w:pPr>
      <w:r>
        <w:rPr>
          <w:rFonts w:hint="default"/>
        </w:rPr>
        <w:t>3.1加油站 gasoline filling station</w:t>
      </w:r>
    </w:p>
    <w:p>
      <w:pPr>
        <w:ind w:firstLine="420" w:firstLineChars="200"/>
        <w:rPr>
          <w:rFonts w:hint="default"/>
        </w:rPr>
      </w:pPr>
      <w:r>
        <w:rPr>
          <w:rFonts w:hint="default"/>
        </w:rPr>
        <w:t>为汽车油箱充装汽油的专门场所。</w:t>
      </w:r>
    </w:p>
    <w:p>
      <w:pPr>
        <w:ind w:firstLine="210" w:firstLineChars="100"/>
        <w:rPr>
          <w:rFonts w:hint="default"/>
        </w:rPr>
      </w:pPr>
      <w:r>
        <w:rPr>
          <w:rFonts w:hint="default"/>
        </w:rPr>
        <w:t>3.2加油站油气回收系统 vapor recovery system for gasoline filling station</w:t>
      </w:r>
    </w:p>
    <w:p>
      <w:pPr>
        <w:ind w:firstLine="420" w:firstLineChars="200"/>
        <w:rPr>
          <w:rFonts w:hint="default"/>
        </w:rPr>
      </w:pPr>
      <w:r>
        <w:rPr>
          <w:rFonts w:hint="default"/>
        </w:rPr>
        <w:t>由卸油油气回收系统、汽油密闭储存、加油油气回收系统、油气处理装置和加油站在线监控系统组成的系统。</w:t>
      </w:r>
    </w:p>
    <w:p>
      <w:pPr>
        <w:ind w:firstLine="210" w:firstLineChars="100"/>
        <w:rPr>
          <w:rFonts w:hint="default"/>
        </w:rPr>
      </w:pPr>
      <w:r>
        <w:rPr>
          <w:rFonts w:hint="default"/>
        </w:rPr>
        <w:t>3.3在线监测系统 on-line monitoring system</w:t>
      </w:r>
    </w:p>
    <w:p>
      <w:pPr>
        <w:ind w:firstLine="420" w:firstLineChars="200"/>
        <w:rPr>
          <w:rFonts w:hint="default"/>
        </w:rPr>
      </w:pPr>
      <w:r>
        <w:rPr>
          <w:rFonts w:hint="default"/>
        </w:rPr>
        <w:t>在线监测加油油气回收过程中的气液比以及油气回收系统的密闭性是否正常的系统，当发现异常时可提醒操作人员采取相应的措施，并能记录、储存、处理和传输监测数据。</w:t>
      </w:r>
    </w:p>
    <w:p>
      <w:pPr>
        <w:ind w:firstLine="210" w:firstLineChars="100"/>
        <w:rPr>
          <w:rFonts w:hint="default"/>
        </w:rPr>
      </w:pPr>
      <w:r>
        <w:rPr>
          <w:rFonts w:hint="default"/>
        </w:rPr>
        <w:t>3.4油气处理装置 vapor recovery device</w:t>
      </w:r>
    </w:p>
    <w:p>
      <w:pPr>
        <w:ind w:firstLine="420" w:firstLineChars="200"/>
        <w:rPr>
          <w:rFonts w:hint="default"/>
        </w:rPr>
      </w:pPr>
      <w:r>
        <w:rPr>
          <w:rFonts w:hint="default"/>
        </w:rPr>
        <w:t>针对油气回收系统收集的油气，通过采用吸附、吸收、冷凝、膜分离等方法对油气进行处理回收的装置。</w:t>
      </w:r>
    </w:p>
    <w:p>
      <w:pPr>
        <w:ind w:firstLine="210" w:firstLineChars="100"/>
        <w:rPr>
          <w:rFonts w:hint="default"/>
        </w:rPr>
      </w:pPr>
      <w:r>
        <w:rPr>
          <w:rFonts w:hint="default"/>
        </w:rPr>
        <w:t>3.5加油站油气回收在线监控系统省级平台vapor recoveryonline monitoring system for gasoline filling stationprovincial platform</w:t>
      </w:r>
    </w:p>
    <w:p>
      <w:pPr>
        <w:ind w:firstLine="420" w:firstLineChars="200"/>
        <w:rPr>
          <w:rFonts w:hint="default"/>
        </w:rPr>
      </w:pPr>
      <w:r>
        <w:rPr>
          <w:rFonts w:hint="default"/>
        </w:rPr>
        <w:t>由山东省生态环境厅建设，对加油站站端监测系统发送的数据进行收集、展示、管理，并为生态环境主管部门提供加油站油气回收管理的平台（以下简称省平台）。</w:t>
      </w:r>
    </w:p>
    <w:p>
      <w:pPr>
        <w:ind w:firstLine="210" w:firstLineChars="100"/>
        <w:rPr>
          <w:rFonts w:hint="default"/>
        </w:rPr>
      </w:pPr>
      <w:r>
        <w:rPr>
          <w:rFonts w:hint="default"/>
        </w:rPr>
        <w:t>3.6加油站油气回收在线监控系统市级平台vapor recoveryonline monitoring system for gasoline filling stationmunicipal platform</w:t>
      </w:r>
    </w:p>
    <w:p>
      <w:pPr>
        <w:ind w:firstLine="420" w:firstLineChars="200"/>
        <w:rPr>
          <w:rFonts w:hint="default"/>
        </w:rPr>
      </w:pPr>
      <w:r>
        <w:rPr>
          <w:rFonts w:hint="default"/>
        </w:rPr>
        <w:t>由山东省各市生态环境局建设，对加油站站端监测系统发送的数据进行收集、展示、管理并向省平台进行转发，同时为生态环境主管部门提供加油站油气回收管理的平台（以下简称市平台）。</w:t>
      </w:r>
    </w:p>
    <w:p>
      <w:pPr>
        <w:ind w:firstLine="210" w:firstLineChars="100"/>
        <w:rPr>
          <w:rFonts w:hint="default"/>
        </w:rPr>
      </w:pPr>
      <w:r>
        <w:rPr>
          <w:rFonts w:hint="default"/>
        </w:rPr>
        <w:t>3.7监控中心 monitoring center</w:t>
      </w:r>
    </w:p>
    <w:p>
      <w:pPr>
        <w:ind w:firstLine="420" w:firstLineChars="200"/>
        <w:rPr>
          <w:rFonts w:hint="default"/>
        </w:rPr>
      </w:pPr>
      <w:r>
        <w:rPr>
          <w:rFonts w:hint="default"/>
        </w:rPr>
        <w:t>安装在生态环境部门、通过传输网络与自动监控设备连接并对其发出查询和控制等指令的数据接受和数据处理系统，包括计算机及计算机软件等，本文件简称上位机。</w:t>
      </w:r>
    </w:p>
    <w:p>
      <w:pPr>
        <w:ind w:firstLine="210" w:firstLineChars="100"/>
        <w:rPr>
          <w:rFonts w:hint="default"/>
        </w:rPr>
      </w:pPr>
      <w:r>
        <w:rPr>
          <w:rFonts w:hint="default"/>
        </w:rPr>
        <w:t>3.8在线自动监控（监测）设备 online monitoring equipment</w:t>
      </w:r>
    </w:p>
    <w:p>
      <w:pPr>
        <w:ind w:firstLine="420" w:firstLineChars="200"/>
        <w:rPr>
          <w:rFonts w:hint="default"/>
        </w:rPr>
      </w:pPr>
      <w:r>
        <w:rPr>
          <w:rFonts w:hint="default"/>
        </w:rPr>
        <w:t>安装在监测点现场及影响污染物排放的工艺节点，用于监控、监测污染物排放状况和过程参数并完成与上位机通讯传输的设备，包括污染物监控（监测）仪器、流量（速）计、污染治理设施运行记录仪和数据采集传输仪等，本文件简称现场机。</w:t>
      </w:r>
    </w:p>
    <w:p>
      <w:pPr>
        <w:ind w:firstLine="210" w:firstLineChars="100"/>
        <w:rPr>
          <w:rFonts w:hint="default"/>
        </w:rPr>
      </w:pPr>
      <w:r>
        <w:rPr>
          <w:rFonts w:hint="default"/>
        </w:rPr>
        <w:t>3.9数据采集传输仪equipment of data collector and transmission</w:t>
      </w:r>
    </w:p>
    <w:p>
      <w:pPr>
        <w:ind w:firstLine="420" w:firstLineChars="200"/>
        <w:rPr>
          <w:rFonts w:hint="default"/>
        </w:rPr>
      </w:pPr>
      <w:r>
        <w:rPr>
          <w:rFonts w:hint="default"/>
        </w:rPr>
        <w:t>采集各种类型监控仪器仪表的数据、完成数据存储及与上位机数据传输通讯功能的单片机、工控机、嵌入式计算机、可编程自动化控制器（Programmable Automation Controller，PAC）或可编程控制器（Programmable Logic Controller,PLC）等，简称数采仪。</w:t>
      </w:r>
    </w:p>
    <w:p>
      <w:pPr>
        <w:rPr>
          <w:rFonts w:hint="default"/>
        </w:rPr>
      </w:pPr>
      <w:r>
        <w:rPr>
          <w:rFonts w:hint="default"/>
        </w:rPr>
        <w:t>4现场机技术要求</w:t>
      </w:r>
    </w:p>
    <w:p>
      <w:pPr>
        <w:ind w:firstLine="420" w:firstLineChars="200"/>
        <w:rPr>
          <w:rFonts w:hint="default"/>
        </w:rPr>
      </w:pPr>
      <w:r>
        <w:rPr>
          <w:rFonts w:hint="default"/>
        </w:rPr>
        <w:t>现场机应满足GB20952-2020中的附录E的要求。</w:t>
      </w:r>
    </w:p>
    <w:p>
      <w:pPr>
        <w:rPr>
          <w:rFonts w:hint="default"/>
        </w:rPr>
      </w:pPr>
      <w:r>
        <w:rPr>
          <w:rFonts w:hint="default"/>
        </w:rPr>
        <w:t>5现场机通讯协议</w:t>
      </w:r>
    </w:p>
    <w:p>
      <w:pPr>
        <w:ind w:firstLine="210" w:firstLineChars="100"/>
        <w:rPr>
          <w:rFonts w:hint="default"/>
        </w:rPr>
      </w:pPr>
      <w:r>
        <w:rPr>
          <w:rFonts w:hint="default"/>
        </w:rPr>
        <w:t>5.1协议层次和结构</w:t>
      </w:r>
    </w:p>
    <w:p>
      <w:pPr>
        <w:ind w:firstLine="420" w:firstLineChars="200"/>
        <w:rPr>
          <w:rFonts w:hint="default"/>
        </w:rPr>
      </w:pPr>
      <w:r>
        <w:rPr>
          <w:rFonts w:hint="default"/>
        </w:rPr>
        <w:t>协议层次和结构符合HJ212-2017.5的要求。</w:t>
      </w:r>
    </w:p>
    <w:p>
      <w:pPr>
        <w:ind w:firstLine="210" w:firstLineChars="100"/>
        <w:rPr>
          <w:rFonts w:hint="default"/>
        </w:rPr>
      </w:pPr>
      <w:r>
        <w:rPr>
          <w:rFonts w:hint="default"/>
        </w:rPr>
        <w:t>5.2通讯协议</w:t>
      </w:r>
    </w:p>
    <w:p>
      <w:pPr>
        <w:ind w:firstLine="210" w:firstLineChars="100"/>
        <w:rPr>
          <w:rFonts w:hint="default"/>
        </w:rPr>
      </w:pPr>
      <w:r>
        <w:rPr>
          <w:rFonts w:hint="default"/>
        </w:rPr>
        <w:t>5.2.1应答模式</w:t>
      </w:r>
    </w:p>
    <w:p>
      <w:pPr>
        <w:ind w:firstLine="420" w:firstLineChars="200"/>
        <w:rPr>
          <w:rFonts w:hint="default"/>
        </w:rPr>
      </w:pPr>
      <w:r>
        <w:rPr>
          <w:rFonts w:hint="default"/>
        </w:rPr>
        <w:t>应答模式符合HJ212-2017.6.1的要求。</w:t>
      </w:r>
    </w:p>
    <w:p>
      <w:pPr>
        <w:ind w:firstLine="210" w:firstLineChars="100"/>
        <w:rPr>
          <w:rFonts w:hint="default"/>
        </w:rPr>
      </w:pPr>
      <w:r>
        <w:rPr>
          <w:rFonts w:hint="default"/>
        </w:rPr>
        <w:t>5.2.2超时重发机制</w:t>
      </w:r>
    </w:p>
    <w:p>
      <w:pPr>
        <w:ind w:firstLine="420" w:firstLineChars="200"/>
        <w:rPr>
          <w:rFonts w:hint="default"/>
        </w:rPr>
      </w:pPr>
      <w:r>
        <w:rPr>
          <w:rFonts w:hint="default"/>
        </w:rPr>
        <w:t>超时重发机制符合HJ212-2017.6.2的要求。</w:t>
      </w:r>
    </w:p>
    <w:p>
      <w:pPr>
        <w:ind w:firstLine="210" w:firstLineChars="100"/>
        <w:rPr>
          <w:rFonts w:hint="default"/>
        </w:rPr>
      </w:pPr>
      <w:r>
        <w:rPr>
          <w:rFonts w:hint="default"/>
        </w:rPr>
        <w:t>5.2.3通讯协议数据结构</w:t>
      </w:r>
    </w:p>
    <w:p>
      <w:pPr>
        <w:ind w:firstLine="420" w:firstLineChars="200"/>
        <w:rPr>
          <w:rFonts w:hint="default"/>
        </w:rPr>
      </w:pPr>
      <w:r>
        <w:rPr>
          <w:rFonts w:hint="default"/>
        </w:rPr>
        <w:t>通讯协议数据结构符合HJ212-2017.6.3的要求。</w:t>
      </w:r>
    </w:p>
    <w:p>
      <w:pPr>
        <w:ind w:firstLine="210" w:firstLineChars="100"/>
        <w:rPr>
          <w:rFonts w:hint="default"/>
        </w:rPr>
      </w:pPr>
      <w:r>
        <w:rPr>
          <w:rFonts w:hint="default"/>
        </w:rPr>
        <w:t>5.2.4通讯流程</w:t>
      </w:r>
    </w:p>
    <w:p>
      <w:pPr>
        <w:ind w:firstLine="420" w:firstLineChars="200"/>
        <w:rPr>
          <w:rFonts w:hint="default"/>
        </w:rPr>
      </w:pPr>
      <w:r>
        <w:rPr>
          <w:rFonts w:hint="default"/>
        </w:rPr>
        <w:t>通讯流程符合HJ212-2017.6.5的要求。</w:t>
      </w:r>
    </w:p>
    <w:p>
      <w:pPr>
        <w:ind w:firstLine="210" w:firstLineChars="100"/>
        <w:rPr>
          <w:rFonts w:hint="default"/>
        </w:rPr>
      </w:pPr>
      <w:r>
        <w:rPr>
          <w:rFonts w:hint="default"/>
        </w:rPr>
        <w:t>5.2.5代码定义</w:t>
      </w:r>
    </w:p>
    <w:p>
      <w:pPr>
        <w:ind w:firstLine="210" w:firstLineChars="100"/>
        <w:rPr>
          <w:rFonts w:hint="default"/>
        </w:rPr>
      </w:pPr>
      <w:r>
        <w:rPr>
          <w:rFonts w:hint="default"/>
        </w:rPr>
        <w:t>5.2.5.1系统编码</w:t>
      </w:r>
    </w:p>
    <w:p>
      <w:pPr>
        <w:ind w:firstLine="420" w:firstLineChars="200"/>
        <w:rPr>
          <w:rFonts w:hint="default"/>
        </w:rPr>
      </w:pPr>
      <w:r>
        <w:rPr>
          <w:rFonts w:hint="default"/>
        </w:rPr>
        <w:t>系统编码符合HJ212-2017.6.6.1的要求。</w:t>
      </w:r>
    </w:p>
    <w:p>
      <w:pPr>
        <w:ind w:firstLine="420" w:firstLineChars="200"/>
        <w:rPr>
          <w:rFonts w:hint="default"/>
        </w:rPr>
      </w:pPr>
      <w:r>
        <w:rPr>
          <w:rFonts w:hint="default"/>
        </w:rPr>
        <w:t>本技术要求定义系统编码为ST=99。</w:t>
      </w:r>
    </w:p>
    <w:p>
      <w:pPr>
        <w:ind w:firstLine="210" w:firstLineChars="100"/>
        <w:rPr>
          <w:rFonts w:hint="default"/>
        </w:rPr>
      </w:pPr>
      <w:r>
        <w:rPr>
          <w:rFonts w:hint="default"/>
        </w:rPr>
        <w:t>5.2.5.2执行结果定义</w:t>
      </w:r>
    </w:p>
    <w:p>
      <w:pPr>
        <w:ind w:firstLine="420" w:firstLineChars="200"/>
        <w:rPr>
          <w:rFonts w:hint="default"/>
        </w:rPr>
      </w:pPr>
      <w:r>
        <w:rPr>
          <w:rFonts w:hint="default"/>
        </w:rPr>
        <w:t>执行结果定义符合HJ212-2017.6.6.2的要求。</w:t>
      </w:r>
    </w:p>
    <w:p>
      <w:pPr>
        <w:ind w:firstLine="210" w:firstLineChars="100"/>
        <w:rPr>
          <w:rFonts w:hint="default"/>
        </w:rPr>
      </w:pPr>
      <w:r>
        <w:rPr>
          <w:rFonts w:hint="default"/>
        </w:rPr>
        <w:t>5.2.5.3请求命令返回（可扩充）</w:t>
      </w:r>
    </w:p>
    <w:p>
      <w:pPr>
        <w:ind w:firstLine="420" w:firstLineChars="200"/>
        <w:rPr>
          <w:rFonts w:hint="default"/>
        </w:rPr>
      </w:pPr>
      <w:r>
        <w:rPr>
          <w:rFonts w:hint="default"/>
        </w:rPr>
        <w:t>请求命令返回符合HJ212-2017.6.6.3的要求，增加新请求命令返回编号为QnRtn=99，表示数据接收成功。</w:t>
      </w:r>
    </w:p>
    <w:p>
      <w:pPr>
        <w:ind w:firstLine="210" w:firstLineChars="100"/>
        <w:rPr>
          <w:rFonts w:hint="default"/>
        </w:rPr>
      </w:pPr>
      <w:r>
        <w:rPr>
          <w:rFonts w:hint="default"/>
        </w:rPr>
        <w:t>5.2.5.4数据标记（可扩充）</w:t>
      </w:r>
    </w:p>
    <w:p>
      <w:pPr>
        <w:ind w:firstLine="420" w:firstLineChars="200"/>
        <w:rPr>
          <w:rFonts w:hint="default"/>
        </w:rPr>
      </w:pPr>
      <w:r>
        <w:rPr>
          <w:rFonts w:hint="default"/>
        </w:rPr>
        <w:t>数据标记符合HJ212-2017.6.6.4的要求。</w:t>
      </w:r>
    </w:p>
    <w:p>
      <w:pPr>
        <w:ind w:firstLine="210" w:firstLineChars="100"/>
        <w:rPr>
          <w:rFonts w:hint="default"/>
        </w:rPr>
      </w:pPr>
      <w:r>
        <w:rPr>
          <w:rFonts w:hint="default"/>
        </w:rPr>
        <w:t>5.2.5.5命令编码（可扩充）</w:t>
      </w:r>
    </w:p>
    <w:p>
      <w:pPr>
        <w:ind w:firstLine="420" w:firstLineChars="200"/>
        <w:rPr>
          <w:rFonts w:hint="default"/>
        </w:rPr>
      </w:pPr>
      <w:r>
        <w:rPr>
          <w:rFonts w:hint="default"/>
        </w:rPr>
        <w:t>命令编码用 4 位阿拉伯数字表示，如表 1所示。</w:t>
      </w:r>
    </w:p>
    <w:p>
      <w:pPr>
        <w:rPr>
          <w:rFonts w:hint="default"/>
        </w:rPr>
      </w:pPr>
      <w:r>
        <w:rPr>
          <w:rFonts w:hint="default"/>
        </w:rPr>
        <w:drawing>
          <wp:inline distT="0" distB="0" distL="114300" distR="114300">
            <wp:extent cx="5724525" cy="2200275"/>
            <wp:effectExtent l="0" t="0" r="9525" b="9525"/>
            <wp:docPr id="21" name="图片 1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1.jpg"/>
                    <pic:cNvPicPr>
                      <a:picLocks noChangeAspect="1"/>
                    </pic:cNvPicPr>
                  </pic:nvPicPr>
                  <pic:blipFill>
                    <a:blip r:embed="rId4"/>
                    <a:stretch>
                      <a:fillRect/>
                    </a:stretch>
                  </pic:blipFill>
                  <pic:spPr>
                    <a:xfrm>
                      <a:off x="0" y="0"/>
                      <a:ext cx="5724525" cy="2200275"/>
                    </a:xfrm>
                    <a:prstGeom prst="rect">
                      <a:avLst/>
                    </a:prstGeom>
                    <a:noFill/>
                    <a:ln w="9525">
                      <a:noFill/>
                    </a:ln>
                  </pic:spPr>
                </pic:pic>
              </a:graphicData>
            </a:graphic>
          </wp:inline>
        </w:drawing>
      </w:r>
    </w:p>
    <w:p>
      <w:pPr>
        <w:ind w:firstLine="210" w:firstLineChars="100"/>
        <w:rPr>
          <w:rFonts w:hint="default"/>
        </w:rPr>
      </w:pPr>
      <w:r>
        <w:rPr>
          <w:rFonts w:hint="default"/>
        </w:rPr>
        <w:t>5.3通讯业务接口</w:t>
      </w:r>
    </w:p>
    <w:p>
      <w:pPr>
        <w:ind w:firstLine="210" w:firstLineChars="100"/>
        <w:rPr>
          <w:rFonts w:hint="default"/>
        </w:rPr>
      </w:pPr>
      <w:r>
        <w:rPr>
          <w:rFonts w:hint="default"/>
        </w:rPr>
        <w:t>5.3.1配置数据上传接口</w:t>
      </w:r>
    </w:p>
    <w:p>
      <w:pPr>
        <w:ind w:firstLine="420" w:firstLineChars="200"/>
        <w:rPr>
          <w:rFonts w:hint="default"/>
        </w:rPr>
      </w:pPr>
      <w:r>
        <w:rPr>
          <w:rFonts w:hint="default"/>
        </w:rPr>
        <w:t>配置数据上传接口如表2所示，数据示例如表3所示。</w:t>
      </w:r>
    </w:p>
    <w:p>
      <w:pPr>
        <w:rPr>
          <w:rFonts w:hint="default"/>
        </w:rPr>
      </w:pPr>
      <w:r>
        <w:rPr>
          <w:rFonts w:hint="default"/>
        </w:rPr>
        <w:drawing>
          <wp:inline distT="0" distB="0" distL="114300" distR="114300">
            <wp:extent cx="5829300" cy="3505200"/>
            <wp:effectExtent l="0" t="0" r="0" b="0"/>
            <wp:docPr id="20" name="图片 2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2.jpg"/>
                    <pic:cNvPicPr>
                      <a:picLocks noChangeAspect="1"/>
                    </pic:cNvPicPr>
                  </pic:nvPicPr>
                  <pic:blipFill>
                    <a:blip r:embed="rId5"/>
                    <a:stretch>
                      <a:fillRect/>
                    </a:stretch>
                  </pic:blipFill>
                  <pic:spPr>
                    <a:xfrm>
                      <a:off x="0" y="0"/>
                      <a:ext cx="5829300" cy="3505200"/>
                    </a:xfrm>
                    <a:prstGeom prst="rect">
                      <a:avLst/>
                    </a:prstGeom>
                    <a:noFill/>
                    <a:ln w="9525">
                      <a:noFill/>
                    </a:ln>
                  </pic:spPr>
                </pic:pic>
              </a:graphicData>
            </a:graphic>
          </wp:inline>
        </w:drawing>
      </w:r>
    </w:p>
    <w:p>
      <w:pPr>
        <w:rPr>
          <w:rFonts w:hint="default"/>
        </w:rPr>
      </w:pPr>
      <w:r>
        <w:rPr>
          <w:rFonts w:hint="default"/>
        </w:rPr>
        <w:drawing>
          <wp:inline distT="0" distB="0" distL="114300" distR="114300">
            <wp:extent cx="5800725" cy="2743200"/>
            <wp:effectExtent l="0" t="0" r="9525" b="0"/>
            <wp:docPr id="19" name="图片 21"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3.jpg"/>
                    <pic:cNvPicPr>
                      <a:picLocks noChangeAspect="1"/>
                    </pic:cNvPicPr>
                  </pic:nvPicPr>
                  <pic:blipFill>
                    <a:blip r:embed="rId6"/>
                    <a:stretch>
                      <a:fillRect/>
                    </a:stretch>
                  </pic:blipFill>
                  <pic:spPr>
                    <a:xfrm>
                      <a:off x="0" y="0"/>
                      <a:ext cx="5800725" cy="2743200"/>
                    </a:xfrm>
                    <a:prstGeom prst="rect">
                      <a:avLst/>
                    </a:prstGeom>
                    <a:noFill/>
                    <a:ln w="9525">
                      <a:noFill/>
                    </a:ln>
                  </pic:spPr>
                </pic:pic>
              </a:graphicData>
            </a:graphic>
          </wp:inline>
        </w:drawing>
      </w:r>
    </w:p>
    <w:p>
      <w:pPr>
        <w:ind w:firstLine="210" w:firstLineChars="100"/>
        <w:rPr>
          <w:rFonts w:hint="default"/>
        </w:rPr>
      </w:pPr>
      <w:r>
        <w:rPr>
          <w:rFonts w:hint="default"/>
        </w:rPr>
        <w:t>5.3.2报警数据上传接口</w:t>
      </w:r>
    </w:p>
    <w:p>
      <w:pPr>
        <w:ind w:firstLine="420" w:firstLineChars="200"/>
        <w:rPr>
          <w:rFonts w:hint="default"/>
        </w:rPr>
      </w:pPr>
      <w:r>
        <w:rPr>
          <w:rFonts w:hint="default"/>
        </w:rPr>
        <w:t>报警数据上传接口如表4所示，数据示例如表5所示。</w:t>
      </w:r>
    </w:p>
    <w:p>
      <w:pPr>
        <w:rPr>
          <w:rFonts w:hint="default"/>
        </w:rPr>
      </w:pPr>
      <w:r>
        <w:rPr>
          <w:rFonts w:hint="default"/>
        </w:rPr>
        <w:drawing>
          <wp:inline distT="0" distB="0" distL="114300" distR="114300">
            <wp:extent cx="5781675" cy="5638800"/>
            <wp:effectExtent l="0" t="0" r="9525" b="0"/>
            <wp:docPr id="22" name="图片 22"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4.jpg"/>
                    <pic:cNvPicPr>
                      <a:picLocks noChangeAspect="1"/>
                    </pic:cNvPicPr>
                  </pic:nvPicPr>
                  <pic:blipFill>
                    <a:blip r:embed="rId7"/>
                    <a:stretch>
                      <a:fillRect/>
                    </a:stretch>
                  </pic:blipFill>
                  <pic:spPr>
                    <a:xfrm>
                      <a:off x="0" y="0"/>
                      <a:ext cx="5781675" cy="5638800"/>
                    </a:xfrm>
                    <a:prstGeom prst="rect">
                      <a:avLst/>
                    </a:prstGeom>
                    <a:noFill/>
                    <a:ln w="9525">
                      <a:noFill/>
                    </a:ln>
                  </pic:spPr>
                </pic:pic>
              </a:graphicData>
            </a:graphic>
          </wp:inline>
        </w:drawing>
      </w:r>
    </w:p>
    <w:p>
      <w:pPr>
        <w:rPr>
          <w:rFonts w:hint="default"/>
        </w:rPr>
      </w:pPr>
      <w:r>
        <w:rPr>
          <w:rFonts w:hint="default"/>
        </w:rPr>
        <w:drawing>
          <wp:inline distT="0" distB="0" distL="114300" distR="114300">
            <wp:extent cx="5876925" cy="1838325"/>
            <wp:effectExtent l="0" t="0" r="9525" b="9525"/>
            <wp:docPr id="23" name="图片 2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jpg"/>
                    <pic:cNvPicPr>
                      <a:picLocks noChangeAspect="1"/>
                    </pic:cNvPicPr>
                  </pic:nvPicPr>
                  <pic:blipFill>
                    <a:blip r:embed="rId8"/>
                    <a:stretch>
                      <a:fillRect/>
                    </a:stretch>
                  </pic:blipFill>
                  <pic:spPr>
                    <a:xfrm>
                      <a:off x="0" y="0"/>
                      <a:ext cx="5876925" cy="1838325"/>
                    </a:xfrm>
                    <a:prstGeom prst="rect">
                      <a:avLst/>
                    </a:prstGeom>
                    <a:noFill/>
                    <a:ln w="9525">
                      <a:noFill/>
                    </a:ln>
                  </pic:spPr>
                </pic:pic>
              </a:graphicData>
            </a:graphic>
          </wp:inline>
        </w:drawing>
      </w:r>
    </w:p>
    <w:p>
      <w:pPr>
        <w:ind w:firstLine="210" w:firstLineChars="100"/>
        <w:rPr>
          <w:rFonts w:hint="default"/>
        </w:rPr>
      </w:pPr>
      <w:r>
        <w:rPr>
          <w:rFonts w:hint="default"/>
        </w:rPr>
        <w:t>5.3.3油气处理装置油气回收数据上传接口</w:t>
      </w:r>
    </w:p>
    <w:p>
      <w:pPr>
        <w:ind w:firstLine="420" w:firstLineChars="200"/>
        <w:rPr>
          <w:rFonts w:hint="default"/>
        </w:rPr>
      </w:pPr>
      <w:r>
        <w:rPr>
          <w:rFonts w:hint="default"/>
        </w:rPr>
        <w:t>油气处理装置油气回收数据上传接口如表8所示，数据示例如表9所示。</w:t>
      </w:r>
    </w:p>
    <w:p>
      <w:pPr>
        <w:rPr>
          <w:rFonts w:hint="default"/>
        </w:rPr>
      </w:pPr>
      <w:r>
        <w:rPr>
          <w:rFonts w:hint="default"/>
        </w:rPr>
        <w:drawing>
          <wp:inline distT="0" distB="0" distL="114300" distR="114300">
            <wp:extent cx="5743575" cy="4229100"/>
            <wp:effectExtent l="0" t="0" r="9525" b="0"/>
            <wp:docPr id="24" name="图片 24"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6.jpg"/>
                    <pic:cNvPicPr>
                      <a:picLocks noChangeAspect="1"/>
                    </pic:cNvPicPr>
                  </pic:nvPicPr>
                  <pic:blipFill>
                    <a:blip r:embed="rId9"/>
                    <a:stretch>
                      <a:fillRect/>
                    </a:stretch>
                  </pic:blipFill>
                  <pic:spPr>
                    <a:xfrm>
                      <a:off x="0" y="0"/>
                      <a:ext cx="5743575" cy="4229100"/>
                    </a:xfrm>
                    <a:prstGeom prst="rect">
                      <a:avLst/>
                    </a:prstGeom>
                    <a:noFill/>
                    <a:ln w="9525">
                      <a:noFill/>
                    </a:ln>
                  </pic:spPr>
                </pic:pic>
              </a:graphicData>
            </a:graphic>
          </wp:inline>
        </w:drawing>
      </w:r>
    </w:p>
    <w:p>
      <w:pPr>
        <w:rPr>
          <w:rFonts w:hint="default"/>
        </w:rPr>
      </w:pPr>
      <w:r>
        <w:rPr>
          <w:rFonts w:hint="default"/>
        </w:rPr>
        <w:drawing>
          <wp:inline distT="0" distB="0" distL="114300" distR="114300">
            <wp:extent cx="5800725" cy="2714625"/>
            <wp:effectExtent l="0" t="0" r="9525" b="9525"/>
            <wp:docPr id="25" name="图片 25"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jpg"/>
                    <pic:cNvPicPr>
                      <a:picLocks noChangeAspect="1"/>
                    </pic:cNvPicPr>
                  </pic:nvPicPr>
                  <pic:blipFill>
                    <a:blip r:embed="rId10"/>
                    <a:stretch>
                      <a:fillRect/>
                    </a:stretch>
                  </pic:blipFill>
                  <pic:spPr>
                    <a:xfrm>
                      <a:off x="0" y="0"/>
                      <a:ext cx="5800725" cy="2714625"/>
                    </a:xfrm>
                    <a:prstGeom prst="rect">
                      <a:avLst/>
                    </a:prstGeom>
                    <a:noFill/>
                    <a:ln w="9525">
                      <a:noFill/>
                    </a:ln>
                  </pic:spPr>
                </pic:pic>
              </a:graphicData>
            </a:graphic>
          </wp:inline>
        </w:drawing>
      </w:r>
    </w:p>
    <w:p>
      <w:pPr>
        <w:ind w:firstLine="210" w:firstLineChars="100"/>
        <w:rPr>
          <w:rFonts w:hint="default"/>
        </w:rPr>
      </w:pPr>
      <w:r>
        <w:rPr>
          <w:rFonts w:hint="default"/>
        </w:rPr>
        <w:t>5.3.4加油枪加油数据上传接口</w:t>
      </w:r>
    </w:p>
    <w:p>
      <w:pPr>
        <w:ind w:firstLine="420" w:firstLineChars="200"/>
        <w:rPr>
          <w:rFonts w:hint="default"/>
        </w:rPr>
      </w:pPr>
      <w:r>
        <w:rPr>
          <w:rFonts w:hint="default"/>
        </w:rPr>
        <w:t>加油枪加油数据上传接口如表10所示，数据示例如表11所示。</w:t>
      </w:r>
    </w:p>
    <w:p>
      <w:pPr>
        <w:rPr>
          <w:rFonts w:hint="default"/>
        </w:rPr>
      </w:pPr>
      <w:r>
        <w:rPr>
          <w:rFonts w:hint="default"/>
        </w:rPr>
        <w:drawing>
          <wp:inline distT="0" distB="0" distL="114300" distR="114300">
            <wp:extent cx="5810250" cy="4391025"/>
            <wp:effectExtent l="0" t="0" r="0" b="9525"/>
            <wp:docPr id="26" name="图片 26"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jpg"/>
                    <pic:cNvPicPr>
                      <a:picLocks noChangeAspect="1"/>
                    </pic:cNvPicPr>
                  </pic:nvPicPr>
                  <pic:blipFill>
                    <a:blip r:embed="rId11"/>
                    <a:stretch>
                      <a:fillRect/>
                    </a:stretch>
                  </pic:blipFill>
                  <pic:spPr>
                    <a:xfrm>
                      <a:off x="0" y="0"/>
                      <a:ext cx="5810250" cy="4391025"/>
                    </a:xfrm>
                    <a:prstGeom prst="rect">
                      <a:avLst/>
                    </a:prstGeom>
                    <a:noFill/>
                    <a:ln w="9525">
                      <a:noFill/>
                    </a:ln>
                  </pic:spPr>
                </pic:pic>
              </a:graphicData>
            </a:graphic>
          </wp:inline>
        </w:drawing>
      </w:r>
    </w:p>
    <w:p>
      <w:pPr>
        <w:rPr>
          <w:rFonts w:hint="default"/>
        </w:rPr>
      </w:pPr>
      <w:r>
        <w:rPr>
          <w:rFonts w:hint="default"/>
        </w:rPr>
        <w:drawing>
          <wp:inline distT="0" distB="0" distL="114300" distR="114300">
            <wp:extent cx="5953125" cy="2286000"/>
            <wp:effectExtent l="0" t="0" r="9525" b="0"/>
            <wp:docPr id="27" name="图片 27"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9.jpg"/>
                    <pic:cNvPicPr>
                      <a:picLocks noChangeAspect="1"/>
                    </pic:cNvPicPr>
                  </pic:nvPicPr>
                  <pic:blipFill>
                    <a:blip r:embed="rId12"/>
                    <a:stretch>
                      <a:fillRect/>
                    </a:stretch>
                  </pic:blipFill>
                  <pic:spPr>
                    <a:xfrm>
                      <a:off x="0" y="0"/>
                      <a:ext cx="5953125" cy="2286000"/>
                    </a:xfrm>
                    <a:prstGeom prst="rect">
                      <a:avLst/>
                    </a:prstGeom>
                    <a:noFill/>
                    <a:ln w="9525">
                      <a:noFill/>
                    </a:ln>
                  </pic:spPr>
                </pic:pic>
              </a:graphicData>
            </a:graphic>
          </wp:inline>
        </w:drawing>
      </w:r>
    </w:p>
    <w:p>
      <w:pPr>
        <w:ind w:firstLine="210" w:firstLineChars="100"/>
        <w:rPr>
          <w:rFonts w:hint="default"/>
        </w:rPr>
      </w:pPr>
      <w:r>
        <w:rPr>
          <w:rFonts w:hint="default"/>
        </w:rPr>
        <w:t>6平台间通讯协议与数据格式</w:t>
      </w:r>
    </w:p>
    <w:p>
      <w:pPr>
        <w:ind w:firstLine="210" w:firstLineChars="100"/>
        <w:rPr>
          <w:rFonts w:hint="default"/>
        </w:rPr>
      </w:pPr>
      <w:r>
        <w:rPr>
          <w:rFonts w:hint="default"/>
        </w:rPr>
        <w:t>6.1协议结构</w:t>
      </w:r>
    </w:p>
    <w:p>
      <w:pPr>
        <w:ind w:firstLine="420" w:firstLineChars="200"/>
        <w:rPr>
          <w:rFonts w:hint="default"/>
        </w:rPr>
      </w:pPr>
      <w:r>
        <w:rPr>
          <w:rFonts w:hint="default"/>
        </w:rPr>
        <w:t>以TCP/IP网络控制协议作为底层通信承载协议，如图1所示。</w:t>
      </w:r>
    </w:p>
    <w:p>
      <w:pPr>
        <w:rPr>
          <w:rFonts w:hint="default"/>
        </w:rPr>
      </w:pPr>
      <w:r>
        <w:rPr>
          <w:rFonts w:hint="default"/>
        </w:rPr>
        <w:drawing>
          <wp:inline distT="0" distB="0" distL="114300" distR="114300">
            <wp:extent cx="4362450" cy="2438400"/>
            <wp:effectExtent l="0" t="0" r="0" b="0"/>
            <wp:docPr id="28" name="图片 28"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0.jpg"/>
                    <pic:cNvPicPr>
                      <a:picLocks noChangeAspect="1"/>
                    </pic:cNvPicPr>
                  </pic:nvPicPr>
                  <pic:blipFill>
                    <a:blip r:embed="rId13"/>
                    <a:stretch>
                      <a:fillRect/>
                    </a:stretch>
                  </pic:blipFill>
                  <pic:spPr>
                    <a:xfrm>
                      <a:off x="0" y="0"/>
                      <a:ext cx="4362450" cy="2438400"/>
                    </a:xfrm>
                    <a:prstGeom prst="rect">
                      <a:avLst/>
                    </a:prstGeom>
                    <a:noFill/>
                    <a:ln w="9525">
                      <a:noFill/>
                    </a:ln>
                  </pic:spPr>
                </pic:pic>
              </a:graphicData>
            </a:graphic>
          </wp:inline>
        </w:drawing>
      </w:r>
    </w:p>
    <w:p>
      <w:pPr>
        <w:ind w:firstLine="210" w:firstLineChars="100"/>
        <w:rPr>
          <w:rFonts w:hint="default"/>
        </w:rPr>
      </w:pPr>
      <w:r>
        <w:rPr>
          <w:rFonts w:hint="default"/>
        </w:rPr>
        <w:t>6.2连接建立</w:t>
      </w:r>
    </w:p>
    <w:p>
      <w:pPr>
        <w:ind w:firstLine="210" w:firstLineChars="100"/>
        <w:rPr>
          <w:rFonts w:hint="default"/>
        </w:rPr>
      </w:pPr>
      <w:r>
        <w:rPr>
          <w:rFonts w:hint="default"/>
        </w:rPr>
        <w:t>6.2.1</w:t>
      </w:r>
    </w:p>
    <w:p>
      <w:pPr>
        <w:ind w:firstLine="420" w:firstLineChars="200"/>
        <w:rPr>
          <w:rFonts w:hint="default"/>
        </w:rPr>
      </w:pPr>
      <w:r>
        <w:rPr>
          <w:rFonts w:hint="default"/>
        </w:rPr>
        <w:t>市平台向省平台发起通信连接请求，当通信链路连接建立后，市平台应自动向省平台发送登入信息进行身份识别，省平台应对接收到的数据进行校验；校验正确时，省平台应返回成功应答；校验错误时，省平台应存储错误信息记录并通知市平台。登入流程如图2所示。</w:t>
      </w:r>
    </w:p>
    <w:p>
      <w:pPr>
        <w:rPr>
          <w:rFonts w:hint="default"/>
        </w:rPr>
      </w:pPr>
      <w:r>
        <w:rPr>
          <w:rFonts w:hint="default"/>
        </w:rPr>
        <w:drawing>
          <wp:inline distT="0" distB="0" distL="114300" distR="114300">
            <wp:extent cx="3571875" cy="2552700"/>
            <wp:effectExtent l="0" t="0" r="9525" b="0"/>
            <wp:docPr id="29" name="图片 29"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1.jpg"/>
                    <pic:cNvPicPr>
                      <a:picLocks noChangeAspect="1"/>
                    </pic:cNvPicPr>
                  </pic:nvPicPr>
                  <pic:blipFill>
                    <a:blip r:embed="rId14"/>
                    <a:stretch>
                      <a:fillRect/>
                    </a:stretch>
                  </pic:blipFill>
                  <pic:spPr>
                    <a:xfrm>
                      <a:off x="0" y="0"/>
                      <a:ext cx="3571875" cy="2552700"/>
                    </a:xfrm>
                    <a:prstGeom prst="rect">
                      <a:avLst/>
                    </a:prstGeom>
                    <a:noFill/>
                    <a:ln w="9525">
                      <a:noFill/>
                    </a:ln>
                  </pic:spPr>
                </pic:pic>
              </a:graphicData>
            </a:graphic>
          </wp:inline>
        </w:drawing>
      </w:r>
    </w:p>
    <w:p>
      <w:pPr>
        <w:ind w:firstLine="210" w:firstLineChars="100"/>
        <w:rPr>
          <w:rFonts w:hint="default"/>
        </w:rPr>
      </w:pPr>
      <w:r>
        <w:rPr>
          <w:rFonts w:hint="default"/>
        </w:rPr>
        <w:t>6.2.2</w:t>
      </w:r>
    </w:p>
    <w:p>
      <w:pPr>
        <w:ind w:firstLine="420" w:firstLineChars="200"/>
        <w:rPr>
          <w:rFonts w:hint="default"/>
        </w:rPr>
      </w:pPr>
      <w:r>
        <w:rPr>
          <w:rFonts w:hint="default"/>
        </w:rPr>
        <w:t>市平台应在接收到省平台的应答指令后完成本次登入传输；市平台在规定时间内未收到应答指令，应每隔1min重新进行登入；若连续重复3次登入无应答，应间隔30min后，继续重新链接，并把链接成功前存储的未成功发送的数据重新上报。</w:t>
      </w:r>
    </w:p>
    <w:p>
      <w:pPr>
        <w:ind w:firstLine="210" w:firstLineChars="100"/>
        <w:rPr>
          <w:rFonts w:hint="default"/>
        </w:rPr>
      </w:pPr>
      <w:r>
        <w:rPr>
          <w:rFonts w:hint="default"/>
        </w:rPr>
        <w:t>6.3连接断开</w:t>
      </w:r>
    </w:p>
    <w:p>
      <w:pPr>
        <w:ind w:firstLine="420" w:firstLineChars="200"/>
        <w:rPr>
          <w:rFonts w:hint="default"/>
        </w:rPr>
      </w:pPr>
      <w:r>
        <w:rPr>
          <w:rFonts w:hint="default"/>
        </w:rPr>
        <w:t>省平台应根据以下情况断开与市平台的会话连接：</w:t>
      </w:r>
    </w:p>
    <w:p>
      <w:pPr>
        <w:ind w:firstLine="420" w:firstLineChars="200"/>
        <w:rPr>
          <w:rFonts w:hint="default"/>
        </w:rPr>
      </w:pPr>
      <w:r>
        <w:rPr>
          <w:rFonts w:hint="default"/>
        </w:rPr>
        <w:t>a)TCP连接中断。</w:t>
      </w:r>
    </w:p>
    <w:p>
      <w:pPr>
        <w:ind w:firstLine="420" w:firstLineChars="200"/>
        <w:rPr>
          <w:rFonts w:hint="default"/>
        </w:rPr>
      </w:pPr>
      <w:r>
        <w:rPr>
          <w:rFonts w:hint="default"/>
        </w:rPr>
        <w:t>市平台应根据以下情况断开与省平台的会话连接：</w:t>
      </w:r>
    </w:p>
    <w:p>
      <w:pPr>
        <w:ind w:firstLine="420" w:firstLineChars="200"/>
        <w:rPr>
          <w:rFonts w:hint="default"/>
        </w:rPr>
      </w:pPr>
      <w:r>
        <w:rPr>
          <w:rFonts w:hint="default"/>
        </w:rPr>
        <w:t>a)TCP连接中断；</w:t>
      </w:r>
    </w:p>
    <w:p>
      <w:pPr>
        <w:ind w:firstLine="420" w:firstLineChars="200"/>
        <w:rPr>
          <w:rFonts w:hint="default"/>
        </w:rPr>
      </w:pPr>
      <w:r>
        <w:rPr>
          <w:rFonts w:hint="default"/>
        </w:rPr>
        <w:t>b)TCP连接正常，达到重新发送次数后仍未收到应答。</w:t>
      </w:r>
    </w:p>
    <w:p>
      <w:pPr>
        <w:ind w:firstLine="210" w:firstLineChars="100"/>
        <w:rPr>
          <w:rFonts w:hint="default"/>
        </w:rPr>
      </w:pPr>
      <w:r>
        <w:rPr>
          <w:rFonts w:hint="default"/>
        </w:rPr>
        <w:t>6.4数据包结构和定义</w:t>
      </w:r>
    </w:p>
    <w:p>
      <w:pPr>
        <w:ind w:firstLine="210" w:firstLineChars="100"/>
        <w:rPr>
          <w:rFonts w:hint="default"/>
        </w:rPr>
      </w:pPr>
      <w:r>
        <w:rPr>
          <w:rFonts w:hint="default"/>
        </w:rPr>
        <w:t>6.4.1数据类型</w:t>
      </w:r>
    </w:p>
    <w:p>
      <w:pPr>
        <w:ind w:firstLine="420" w:firstLineChars="200"/>
        <w:rPr>
          <w:rFonts w:hint="default"/>
        </w:rPr>
      </w:pPr>
      <w:r>
        <w:rPr>
          <w:rFonts w:hint="default"/>
        </w:rPr>
        <w:t>数据类型符合GB/T 32960.3附录B.3.1.1的要求。</w:t>
      </w:r>
    </w:p>
    <w:p>
      <w:pPr>
        <w:ind w:firstLine="210" w:firstLineChars="100"/>
        <w:rPr>
          <w:rFonts w:hint="default"/>
        </w:rPr>
      </w:pPr>
      <w:r>
        <w:rPr>
          <w:rFonts w:hint="default"/>
        </w:rPr>
        <w:t>6.4.2传输规则</w:t>
      </w:r>
    </w:p>
    <w:p>
      <w:pPr>
        <w:ind w:firstLine="420" w:firstLineChars="200"/>
        <w:rPr>
          <w:rFonts w:hint="default"/>
        </w:rPr>
      </w:pPr>
      <w:r>
        <w:rPr>
          <w:rFonts w:hint="default"/>
        </w:rPr>
        <w:t>协议应采用大端模式的网络字节序来传递字和双字。</w:t>
      </w:r>
    </w:p>
    <w:p>
      <w:pPr>
        <w:ind w:firstLine="210" w:firstLineChars="100"/>
        <w:rPr>
          <w:rFonts w:hint="default"/>
        </w:rPr>
      </w:pPr>
      <w:r>
        <w:rPr>
          <w:rFonts w:hint="default"/>
        </w:rPr>
        <w:t>6.4.3数据包结构</w:t>
      </w:r>
    </w:p>
    <w:p>
      <w:pPr>
        <w:ind w:firstLine="420" w:firstLineChars="200"/>
        <w:rPr>
          <w:rFonts w:hint="default"/>
        </w:rPr>
      </w:pPr>
      <w:r>
        <w:rPr>
          <w:rFonts w:hint="default"/>
        </w:rPr>
        <w:t>一个完整的数据包应由起始符、命令单元、站点编码、数据加密方式、数据单元长度、数据单元和校验码组成。数据包结构和定义见表12。</w:t>
      </w:r>
    </w:p>
    <w:p>
      <w:pPr>
        <w:rPr>
          <w:rFonts w:hint="default"/>
        </w:rPr>
      </w:pPr>
      <w:r>
        <w:rPr>
          <w:rFonts w:hint="default"/>
        </w:rPr>
        <w:drawing>
          <wp:inline distT="0" distB="0" distL="114300" distR="114300">
            <wp:extent cx="5857875" cy="4514850"/>
            <wp:effectExtent l="0" t="0" r="9525" b="0"/>
            <wp:docPr id="30" name="图片 30"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13.jpg"/>
                    <pic:cNvPicPr>
                      <a:picLocks noChangeAspect="1"/>
                    </pic:cNvPicPr>
                  </pic:nvPicPr>
                  <pic:blipFill>
                    <a:blip r:embed="rId15"/>
                    <a:stretch>
                      <a:fillRect/>
                    </a:stretch>
                  </pic:blipFill>
                  <pic:spPr>
                    <a:xfrm>
                      <a:off x="0" y="0"/>
                      <a:ext cx="5857875" cy="4514850"/>
                    </a:xfrm>
                    <a:prstGeom prst="rect">
                      <a:avLst/>
                    </a:prstGeom>
                    <a:noFill/>
                    <a:ln w="9525">
                      <a:noFill/>
                    </a:ln>
                  </pic:spPr>
                </pic:pic>
              </a:graphicData>
            </a:graphic>
          </wp:inline>
        </w:drawing>
      </w:r>
    </w:p>
    <w:p>
      <w:pPr>
        <w:ind w:firstLine="210" w:firstLineChars="100"/>
        <w:rPr>
          <w:rFonts w:hint="default"/>
        </w:rPr>
      </w:pPr>
      <w:r>
        <w:rPr>
          <w:rFonts w:hint="default"/>
        </w:rPr>
        <w:t>6.4.4命令单元</w:t>
      </w:r>
    </w:p>
    <w:p>
      <w:pPr>
        <w:ind w:firstLine="210" w:firstLineChars="100"/>
        <w:rPr>
          <w:rFonts w:hint="default"/>
        </w:rPr>
      </w:pPr>
      <w:r>
        <w:rPr>
          <w:rFonts w:hint="default"/>
        </w:rPr>
        <w:t>6.4.4.1命令标识</w:t>
      </w:r>
    </w:p>
    <w:p>
      <w:pPr>
        <w:ind w:firstLine="420" w:firstLineChars="200"/>
        <w:rPr>
          <w:rFonts w:hint="default"/>
        </w:rPr>
      </w:pPr>
      <w:r>
        <w:rPr>
          <w:rFonts w:hint="default"/>
        </w:rPr>
        <w:t>命令标识应是发起方的唯一标识，命令标识定义见表13所示。</w:t>
      </w:r>
    </w:p>
    <w:p>
      <w:pPr>
        <w:rPr>
          <w:rFonts w:hint="default"/>
        </w:rPr>
      </w:pPr>
      <w:r>
        <w:rPr>
          <w:rFonts w:hint="default"/>
        </w:rPr>
        <w:drawing>
          <wp:inline distT="0" distB="0" distL="114300" distR="114300">
            <wp:extent cx="5943600" cy="3552825"/>
            <wp:effectExtent l="0" t="0" r="0" b="9525"/>
            <wp:docPr id="31" name="图片 31"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4.jpg"/>
                    <pic:cNvPicPr>
                      <a:picLocks noChangeAspect="1"/>
                    </pic:cNvPicPr>
                  </pic:nvPicPr>
                  <pic:blipFill>
                    <a:blip r:embed="rId16"/>
                    <a:stretch>
                      <a:fillRect/>
                    </a:stretch>
                  </pic:blipFill>
                  <pic:spPr>
                    <a:xfrm>
                      <a:off x="0" y="0"/>
                      <a:ext cx="5943600" cy="3552825"/>
                    </a:xfrm>
                    <a:prstGeom prst="rect">
                      <a:avLst/>
                    </a:prstGeom>
                    <a:noFill/>
                    <a:ln w="9525">
                      <a:noFill/>
                    </a:ln>
                  </pic:spPr>
                </pic:pic>
              </a:graphicData>
            </a:graphic>
          </wp:inline>
        </w:drawing>
      </w:r>
    </w:p>
    <w:p>
      <w:pPr>
        <w:ind w:firstLine="210" w:firstLineChars="100"/>
        <w:rPr>
          <w:rFonts w:hint="default"/>
        </w:rPr>
      </w:pPr>
      <w:r>
        <w:rPr>
          <w:rFonts w:hint="default"/>
        </w:rPr>
        <w:t>6.4.4.2应答标志</w:t>
      </w:r>
    </w:p>
    <w:p>
      <w:pPr>
        <w:ind w:firstLine="420" w:firstLineChars="200"/>
        <w:rPr>
          <w:rFonts w:hint="default"/>
        </w:rPr>
      </w:pPr>
      <w:r>
        <w:rPr>
          <w:rFonts w:hint="default"/>
        </w:rPr>
        <w:t>命令的主动发起方应答标志为0xFE，表示此包为命令包；当应答标志不是0xFE时，被动接收方不应应答。当命令的被动接收方应答标志不是0xFE，此包表示为应答包。</w:t>
      </w:r>
    </w:p>
    <w:p>
      <w:pPr>
        <w:ind w:firstLine="420" w:firstLineChars="200"/>
        <w:rPr>
          <w:rFonts w:hint="default"/>
        </w:rPr>
      </w:pPr>
      <w:r>
        <w:rPr>
          <w:rFonts w:hint="default"/>
        </w:rPr>
        <w:t>当命令的被动接受方发送应答时，只需变更应答标志，删除其余报文内容，并重新计算校验位即可。</w:t>
      </w:r>
    </w:p>
    <w:p>
      <w:pPr>
        <w:ind w:firstLine="420" w:firstLineChars="200"/>
        <w:rPr>
          <w:rFonts w:hint="default"/>
        </w:rPr>
      </w:pPr>
      <w:r>
        <w:rPr>
          <w:rFonts w:hint="default"/>
        </w:rPr>
        <w:t>应答标志定义见表14。</w:t>
      </w:r>
    </w:p>
    <w:p>
      <w:pPr>
        <w:rPr>
          <w:rFonts w:hint="default"/>
        </w:rPr>
      </w:pPr>
      <w:r>
        <w:rPr>
          <w:rFonts w:hint="default"/>
        </w:rPr>
        <w:drawing>
          <wp:inline distT="0" distB="0" distL="114300" distR="114300">
            <wp:extent cx="5981700" cy="1495425"/>
            <wp:effectExtent l="0" t="0" r="0" b="9525"/>
            <wp:docPr id="32" name="图片 32" descr="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0.jpg"/>
                    <pic:cNvPicPr>
                      <a:picLocks noChangeAspect="1"/>
                    </pic:cNvPicPr>
                  </pic:nvPicPr>
                  <pic:blipFill>
                    <a:blip r:embed="rId17"/>
                    <a:stretch>
                      <a:fillRect/>
                    </a:stretch>
                  </pic:blipFill>
                  <pic:spPr>
                    <a:xfrm>
                      <a:off x="0" y="0"/>
                      <a:ext cx="5981700" cy="1495425"/>
                    </a:xfrm>
                    <a:prstGeom prst="rect">
                      <a:avLst/>
                    </a:prstGeom>
                    <a:noFill/>
                    <a:ln w="9525">
                      <a:noFill/>
                    </a:ln>
                  </pic:spPr>
                </pic:pic>
              </a:graphicData>
            </a:graphic>
          </wp:inline>
        </w:drawing>
      </w:r>
    </w:p>
    <w:p>
      <w:pPr>
        <w:ind w:firstLine="210" w:firstLineChars="100"/>
        <w:rPr>
          <w:rFonts w:hint="default"/>
        </w:rPr>
      </w:pPr>
      <w:r>
        <w:rPr>
          <w:rFonts w:hint="default"/>
        </w:rPr>
        <w:t>6.5时间</w:t>
      </w:r>
    </w:p>
    <w:p>
      <w:pPr>
        <w:ind w:firstLine="420" w:firstLineChars="200"/>
        <w:rPr>
          <w:rFonts w:hint="default"/>
        </w:rPr>
      </w:pPr>
      <w:r>
        <w:rPr>
          <w:rFonts w:hint="default"/>
        </w:rPr>
        <w:t>时间应符合GB/T 32960.3-2016 第6.4要求。</w:t>
      </w:r>
    </w:p>
    <w:p>
      <w:pPr>
        <w:ind w:firstLine="210" w:firstLineChars="100"/>
        <w:rPr>
          <w:rFonts w:hint="default"/>
        </w:rPr>
      </w:pPr>
      <w:r>
        <w:rPr>
          <w:rFonts w:hint="default"/>
        </w:rPr>
        <w:t>6.6数据单元格式和定义</w:t>
      </w:r>
    </w:p>
    <w:p>
      <w:pPr>
        <w:ind w:firstLine="210" w:firstLineChars="100"/>
        <w:rPr>
          <w:rFonts w:hint="default"/>
        </w:rPr>
      </w:pPr>
      <w:r>
        <w:rPr>
          <w:rFonts w:hint="default"/>
        </w:rPr>
        <w:t>6.6.1平台登入</w:t>
      </w:r>
    </w:p>
    <w:p>
      <w:pPr>
        <w:ind w:firstLine="420" w:firstLineChars="200"/>
        <w:rPr>
          <w:rFonts w:hint="default"/>
        </w:rPr>
      </w:pPr>
      <w:r>
        <w:rPr>
          <w:rFonts w:hint="default"/>
        </w:rPr>
        <w:t>平台登入数据格式和定义见表15。</w:t>
      </w:r>
    </w:p>
    <w:p>
      <w:pPr>
        <w:rPr>
          <w:rFonts w:hint="default"/>
        </w:rPr>
      </w:pPr>
      <w:r>
        <w:rPr>
          <w:rFonts w:hint="default"/>
        </w:rPr>
        <w:drawing>
          <wp:inline distT="0" distB="0" distL="114300" distR="114300">
            <wp:extent cx="5819775" cy="2752725"/>
            <wp:effectExtent l="0" t="0" r="9525" b="9525"/>
            <wp:docPr id="33" name="图片 33"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jpg"/>
                    <pic:cNvPicPr>
                      <a:picLocks noChangeAspect="1"/>
                    </pic:cNvPicPr>
                  </pic:nvPicPr>
                  <pic:blipFill>
                    <a:blip r:embed="rId18"/>
                    <a:stretch>
                      <a:fillRect/>
                    </a:stretch>
                  </pic:blipFill>
                  <pic:spPr>
                    <a:xfrm>
                      <a:off x="0" y="0"/>
                      <a:ext cx="5819775" cy="2752725"/>
                    </a:xfrm>
                    <a:prstGeom prst="rect">
                      <a:avLst/>
                    </a:prstGeom>
                    <a:noFill/>
                    <a:ln w="9525">
                      <a:noFill/>
                    </a:ln>
                  </pic:spPr>
                </pic:pic>
              </a:graphicData>
            </a:graphic>
          </wp:inline>
        </w:drawing>
      </w:r>
    </w:p>
    <w:p>
      <w:pPr>
        <w:ind w:firstLine="210" w:firstLineChars="100"/>
        <w:rPr>
          <w:rFonts w:hint="default"/>
        </w:rPr>
      </w:pPr>
      <w:r>
        <w:rPr>
          <w:rFonts w:hint="default"/>
        </w:rPr>
        <w:t>6.6.2平台登出</w:t>
      </w:r>
    </w:p>
    <w:p>
      <w:pPr>
        <w:ind w:firstLine="420" w:firstLineChars="200"/>
        <w:rPr>
          <w:rFonts w:hint="default"/>
        </w:rPr>
      </w:pPr>
      <w:r>
        <w:rPr>
          <w:rFonts w:hint="default"/>
        </w:rPr>
        <w:t>平台登出数据格式和定义见表16。</w:t>
      </w:r>
    </w:p>
    <w:p>
      <w:pPr>
        <w:rPr>
          <w:rFonts w:hint="default"/>
        </w:rPr>
      </w:pPr>
      <w:r>
        <w:rPr>
          <w:rFonts w:hint="default"/>
        </w:rPr>
        <w:drawing>
          <wp:inline distT="0" distB="0" distL="114300" distR="114300">
            <wp:extent cx="5886450" cy="1543050"/>
            <wp:effectExtent l="0" t="0" r="0" b="0"/>
            <wp:docPr id="34" name="图片 34"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jpg"/>
                    <pic:cNvPicPr>
                      <a:picLocks noChangeAspect="1"/>
                    </pic:cNvPicPr>
                  </pic:nvPicPr>
                  <pic:blipFill>
                    <a:blip r:embed="rId19"/>
                    <a:stretch>
                      <a:fillRect/>
                    </a:stretch>
                  </pic:blipFill>
                  <pic:spPr>
                    <a:xfrm>
                      <a:off x="0" y="0"/>
                      <a:ext cx="5886450" cy="1543050"/>
                    </a:xfrm>
                    <a:prstGeom prst="rect">
                      <a:avLst/>
                    </a:prstGeom>
                    <a:noFill/>
                    <a:ln w="9525">
                      <a:noFill/>
                    </a:ln>
                  </pic:spPr>
                </pic:pic>
              </a:graphicData>
            </a:graphic>
          </wp:inline>
        </w:drawing>
      </w:r>
    </w:p>
    <w:p>
      <w:pPr>
        <w:ind w:firstLine="210" w:firstLineChars="100"/>
        <w:rPr>
          <w:rFonts w:hint="default"/>
        </w:rPr>
      </w:pPr>
      <w:r>
        <w:rPr>
          <w:rFonts w:hint="default"/>
        </w:rPr>
        <w:t>6.6.3平台密钥交换</w:t>
      </w:r>
    </w:p>
    <w:p>
      <w:pPr>
        <w:ind w:firstLine="420" w:firstLineChars="200"/>
        <w:rPr>
          <w:rFonts w:hint="default"/>
        </w:rPr>
      </w:pPr>
      <w:r>
        <w:rPr>
          <w:rFonts w:hint="default"/>
        </w:rPr>
        <w:t>平台密钥交换数据格式和定义见表17。</w:t>
      </w:r>
    </w:p>
    <w:p>
      <w:pPr>
        <w:rPr>
          <w:rFonts w:hint="default"/>
        </w:rPr>
      </w:pPr>
      <w:r>
        <w:rPr>
          <w:rFonts w:hint="default"/>
        </w:rPr>
        <w:drawing>
          <wp:inline distT="0" distB="0" distL="114300" distR="114300">
            <wp:extent cx="5924550" cy="2409825"/>
            <wp:effectExtent l="0" t="0" r="0" b="9525"/>
            <wp:docPr id="35" name="图片 35"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17.jpg"/>
                    <pic:cNvPicPr>
                      <a:picLocks noChangeAspect="1"/>
                    </pic:cNvPicPr>
                  </pic:nvPicPr>
                  <pic:blipFill>
                    <a:blip r:embed="rId20"/>
                    <a:stretch>
                      <a:fillRect/>
                    </a:stretch>
                  </pic:blipFill>
                  <pic:spPr>
                    <a:xfrm>
                      <a:off x="0" y="0"/>
                      <a:ext cx="5924550" cy="2409825"/>
                    </a:xfrm>
                    <a:prstGeom prst="rect">
                      <a:avLst/>
                    </a:prstGeom>
                    <a:noFill/>
                    <a:ln w="9525">
                      <a:noFill/>
                    </a:ln>
                  </pic:spPr>
                </pic:pic>
              </a:graphicData>
            </a:graphic>
          </wp:inline>
        </w:drawing>
      </w:r>
    </w:p>
    <w:p>
      <w:pPr>
        <w:ind w:firstLine="210" w:firstLineChars="100"/>
        <w:rPr>
          <w:rFonts w:hint="default"/>
        </w:rPr>
      </w:pPr>
      <w:r>
        <w:rPr>
          <w:rFonts w:hint="default"/>
        </w:rPr>
        <w:t>6.6.4平台心跳</w:t>
      </w:r>
    </w:p>
    <w:p>
      <w:pPr>
        <w:ind w:firstLine="420" w:firstLineChars="200"/>
        <w:rPr>
          <w:rFonts w:hint="default"/>
        </w:rPr>
      </w:pPr>
      <w:r>
        <w:rPr>
          <w:rFonts w:hint="default"/>
        </w:rPr>
        <w:t>平台心跳数据格式和定义见表18。</w:t>
      </w:r>
    </w:p>
    <w:p>
      <w:pPr>
        <w:rPr>
          <w:rFonts w:hint="default"/>
        </w:rPr>
      </w:pPr>
      <w:r>
        <w:rPr>
          <w:rFonts w:hint="default"/>
        </w:rPr>
        <w:drawing>
          <wp:inline distT="0" distB="0" distL="114300" distR="114300">
            <wp:extent cx="5991225" cy="1190625"/>
            <wp:effectExtent l="0" t="0" r="9525" b="9525"/>
            <wp:docPr id="36" name="图片 36"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8.jpg"/>
                    <pic:cNvPicPr>
                      <a:picLocks noChangeAspect="1"/>
                    </pic:cNvPicPr>
                  </pic:nvPicPr>
                  <pic:blipFill>
                    <a:blip r:embed="rId21"/>
                    <a:stretch>
                      <a:fillRect/>
                    </a:stretch>
                  </pic:blipFill>
                  <pic:spPr>
                    <a:xfrm>
                      <a:off x="0" y="0"/>
                      <a:ext cx="5991225" cy="1190625"/>
                    </a:xfrm>
                    <a:prstGeom prst="rect">
                      <a:avLst/>
                    </a:prstGeom>
                    <a:noFill/>
                    <a:ln w="9525">
                      <a:noFill/>
                    </a:ln>
                  </pic:spPr>
                </pic:pic>
              </a:graphicData>
            </a:graphic>
          </wp:inline>
        </w:drawing>
      </w:r>
    </w:p>
    <w:p>
      <w:pPr>
        <w:ind w:firstLine="210" w:firstLineChars="100"/>
        <w:rPr>
          <w:rFonts w:hint="default"/>
        </w:rPr>
      </w:pPr>
      <w:r>
        <w:rPr>
          <w:rFonts w:hint="default"/>
        </w:rPr>
        <w:t>6.6.5数据单元</w:t>
      </w:r>
    </w:p>
    <w:p>
      <w:pPr>
        <w:ind w:firstLine="420" w:firstLineChars="200"/>
        <w:rPr>
          <w:rFonts w:hint="default"/>
        </w:rPr>
      </w:pPr>
      <w:r>
        <w:rPr>
          <w:rFonts w:hint="default"/>
        </w:rPr>
        <w:t>数据单元应是现场机上传的符合5.3规定的原始数据包。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jU5M2M5Y2YwYzQ1Nzg0NzFiYTA4MTM3MjAyOGMifQ=="/>
  </w:docVars>
  <w:rsids>
    <w:rsidRoot w:val="5D0D34D3"/>
    <w:rsid w:val="5D0D3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2022-10-31T01:10:00Z</dcterms:created>
  <dc:creator>心筑</dc:creator>
  <cp:lastModifiedBy>心筑</cp:lastModifiedBy>
  <dcterms:modified xsi:type="dcterms:W3CDTF">2022-10-31T01:22:10Z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E44F218A36DA4592AD2DFC581DDF9188</vt:lpwstr>
  </property>
</Properties>
</file>